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AB" w:rsidRDefault="000B4CEC" w:rsidP="000B4CEC">
      <w:pPr>
        <w:spacing w:after="0"/>
      </w:pPr>
      <w:r>
        <w:t>Univ.-Prof. Dr. Claudia Schubert</w:t>
      </w:r>
      <w:r w:rsidR="009C2411">
        <w:tab/>
      </w:r>
      <w:r w:rsidR="009C2411">
        <w:tab/>
      </w:r>
      <w:r w:rsidR="009C2411">
        <w:tab/>
      </w:r>
      <w:r w:rsidR="009C2411">
        <w:tab/>
      </w:r>
      <w:r w:rsidR="009C2411">
        <w:tab/>
        <w:t xml:space="preserve">            Sommersemester 2013</w:t>
      </w:r>
    </w:p>
    <w:p w:rsidR="000B4CEC" w:rsidRPr="000B4CEC" w:rsidRDefault="000B4CEC">
      <w:pPr>
        <w:rPr>
          <w:sz w:val="20"/>
        </w:rPr>
      </w:pPr>
      <w:r w:rsidRPr="000B4CEC">
        <w:rPr>
          <w:sz w:val="20"/>
        </w:rPr>
        <w:t>Freie Universität Berlin</w:t>
      </w:r>
    </w:p>
    <w:p w:rsidR="000B4CEC" w:rsidRDefault="000B4CEC"/>
    <w:p w:rsidR="000B4CEC" w:rsidRDefault="000B4CEC"/>
    <w:p w:rsidR="000B4CEC" w:rsidRDefault="000B4CEC" w:rsidP="000B4CEC">
      <w:pPr>
        <w:jc w:val="center"/>
        <w:rPr>
          <w:b/>
        </w:rPr>
      </w:pPr>
      <w:r w:rsidRPr="000B4CEC">
        <w:rPr>
          <w:b/>
        </w:rPr>
        <w:t>Seminar zum Europäischen</w:t>
      </w:r>
      <w:r w:rsidR="000C6A39">
        <w:rPr>
          <w:b/>
        </w:rPr>
        <w:t xml:space="preserve"> und internationalen</w:t>
      </w:r>
      <w:r w:rsidRPr="000B4CEC">
        <w:rPr>
          <w:b/>
        </w:rPr>
        <w:t xml:space="preserve"> Arbeitsrecht</w:t>
      </w:r>
    </w:p>
    <w:p w:rsidR="000C6A39" w:rsidRPr="00641390" w:rsidRDefault="000C6A39" w:rsidP="000B4CEC">
      <w:pPr>
        <w:jc w:val="center"/>
      </w:pPr>
      <w:r w:rsidRPr="00641390">
        <w:t>verbunden mit einer</w:t>
      </w:r>
    </w:p>
    <w:p w:rsidR="000C6A39" w:rsidRPr="000B4CEC" w:rsidRDefault="000C6A39" w:rsidP="000B4CEC">
      <w:pPr>
        <w:jc w:val="center"/>
        <w:rPr>
          <w:b/>
        </w:rPr>
      </w:pPr>
      <w:r>
        <w:rPr>
          <w:b/>
        </w:rPr>
        <w:t xml:space="preserve">Exkursion zum Gerichtshof der Europäischen Union und zum Europäischen Gerichtshof </w:t>
      </w:r>
      <w:r>
        <w:rPr>
          <w:b/>
        </w:rPr>
        <w:br/>
        <w:t>für Menschenrechte (gemeinsam mit Prof. Dr. Calliess)</w:t>
      </w:r>
    </w:p>
    <w:p w:rsidR="000B4CEC" w:rsidRDefault="000B4CEC"/>
    <w:p w:rsidR="000C6A39" w:rsidRDefault="000C6A39" w:rsidP="000C6A39">
      <w:pPr>
        <w:ind w:left="360"/>
        <w:jc w:val="both"/>
      </w:pPr>
      <w:r>
        <w:t>Im Sommersemester 2013  biete ich ein Seminar zum europäischen und internationalen Arbeit</w:t>
      </w:r>
      <w:r>
        <w:t>s</w:t>
      </w:r>
      <w:r>
        <w:t>recht. Die Teilnehmer sollen die Themen in einer Seminararbeit aufarbeiten und die wesentl</w:t>
      </w:r>
      <w:r>
        <w:t>i</w:t>
      </w:r>
      <w:r>
        <w:t>chen Ergebnisse der Arbeit in der Seminarveranstaltung vortragen und ihre Thesen in der a</w:t>
      </w:r>
      <w:r>
        <w:t>n</w:t>
      </w:r>
      <w:r>
        <w:t>schließenden Diskussion</w:t>
      </w:r>
      <w:r w:rsidRPr="006830CF">
        <w:t xml:space="preserve"> </w:t>
      </w:r>
      <w:r>
        <w:t>verteidigen. Das Seminar hat propädeutischen Charakter und richtet sich an die Studierenden des Schwerpunktbereichs Arbeits- und Versicherungsrecht (Unte</w:t>
      </w:r>
      <w:r>
        <w:t>r</w:t>
      </w:r>
      <w:r>
        <w:t xml:space="preserve">schwerpunkt 1: Individualarbeitsrecht, Europäisches und internationales Arbeitsrecht). Es wird ein Seminarschein erteilt, der die Teilnahme an der Schwerpunktbereichsprüfung ermöglicht (§ 20 Abs. 2 S. 1 </w:t>
      </w:r>
      <w:proofErr w:type="spellStart"/>
      <w:r>
        <w:t>StudienO</w:t>
      </w:r>
      <w:proofErr w:type="spellEnd"/>
      <w:r>
        <w:t xml:space="preserve"> FU Berlin).</w:t>
      </w:r>
    </w:p>
    <w:p w:rsidR="000C6A39" w:rsidRDefault="000C6A39" w:rsidP="000C6A39">
      <w:pPr>
        <w:ind w:left="360"/>
        <w:jc w:val="both"/>
      </w:pPr>
      <w:r>
        <w:t>Die Exkursion nach Luxemburg und Strasbourg findet am 22./23.10.2013 statt. Geplant sind die Teilnahme an den Verhandlungen beider Gerichte sowie ein Gespräch mit den deutschen Ric</w:t>
      </w:r>
      <w:r>
        <w:t>h</w:t>
      </w:r>
      <w:r>
        <w:t xml:space="preserve">tern der Gerichtshöfe, Prof. Dr. von </w:t>
      </w:r>
      <w:proofErr w:type="spellStart"/>
      <w:r>
        <w:t>Danwitz</w:t>
      </w:r>
      <w:proofErr w:type="spellEnd"/>
      <w:r>
        <w:t xml:space="preserve"> und Prof. Dr. </w:t>
      </w:r>
      <w:proofErr w:type="spellStart"/>
      <w:r>
        <w:t>Nußberger</w:t>
      </w:r>
      <w:proofErr w:type="spellEnd"/>
      <w:r>
        <w:t>. Der Fachbereich Recht</w:t>
      </w:r>
      <w:r>
        <w:t>s</w:t>
      </w:r>
      <w:r>
        <w:t>wissenschaft unterstützt die Exkursion finanziell. Weitere Einzelheiten zur Exkursion werden bei der Vorbesprechung bekannt gegeben.</w:t>
      </w:r>
    </w:p>
    <w:p w:rsidR="000C6A39" w:rsidRDefault="000C6A39">
      <w:bookmarkStart w:id="0" w:name="_GoBack"/>
      <w:bookmarkEnd w:id="0"/>
    </w:p>
    <w:p w:rsidR="000B4CEC" w:rsidRDefault="000B4CEC" w:rsidP="004674EE">
      <w:pPr>
        <w:pStyle w:val="Listenabsatz"/>
        <w:numPr>
          <w:ilvl w:val="0"/>
          <w:numId w:val="4"/>
        </w:numPr>
      </w:pPr>
      <w:r>
        <w:t xml:space="preserve">Unanwendbarkeit arbeitsrechtlicher Normen wegen des Verstoßes gegen Unionsprimärrecht unter Berücksichtigung der Rechtsprechung des </w:t>
      </w:r>
      <w:proofErr w:type="spellStart"/>
      <w:r>
        <w:t>EuGH</w:t>
      </w:r>
      <w:proofErr w:type="spellEnd"/>
      <w:r>
        <w:t xml:space="preserve"> in den </w:t>
      </w:r>
      <w:proofErr w:type="spellStart"/>
      <w:r>
        <w:t>Rs</w:t>
      </w:r>
      <w:proofErr w:type="spellEnd"/>
      <w:r>
        <w:t xml:space="preserve">. Mangold und </w:t>
      </w:r>
      <w:proofErr w:type="spellStart"/>
      <w:r>
        <w:t>Kücükdeveci</w:t>
      </w:r>
      <w:proofErr w:type="spellEnd"/>
    </w:p>
    <w:p w:rsidR="001521A0" w:rsidRDefault="001521A0" w:rsidP="001521A0">
      <w:pPr>
        <w:pStyle w:val="Listenabsatz"/>
      </w:pPr>
    </w:p>
    <w:p w:rsidR="001521A0" w:rsidRDefault="000B4CEC" w:rsidP="004674EE">
      <w:pPr>
        <w:pStyle w:val="Listenabsatz"/>
        <w:numPr>
          <w:ilvl w:val="0"/>
          <w:numId w:val="4"/>
        </w:numPr>
      </w:pPr>
      <w:r>
        <w:t xml:space="preserve">Die richtlinienkonforme Auslegung </w:t>
      </w:r>
      <w:r w:rsidR="001521A0">
        <w:t xml:space="preserve">unter besonderer Berücksichtigung </w:t>
      </w:r>
      <w:r>
        <w:t>arbeitsrechtlicher Norme</w:t>
      </w:r>
      <w:r w:rsidR="001521A0">
        <w:t>n (</w:t>
      </w:r>
      <w:proofErr w:type="spellStart"/>
      <w:r w:rsidR="001521A0">
        <w:t>Rs</w:t>
      </w:r>
      <w:proofErr w:type="spellEnd"/>
      <w:r w:rsidR="001521A0">
        <w:t xml:space="preserve">. Junk, </w:t>
      </w:r>
      <w:proofErr w:type="spellStart"/>
      <w:r w:rsidR="001521A0">
        <w:t>Adeneler</w:t>
      </w:r>
      <w:proofErr w:type="spellEnd"/>
      <w:r w:rsidR="001521A0">
        <w:t>, Pfeiffer</w:t>
      </w:r>
      <w:r>
        <w:t>)</w:t>
      </w:r>
    </w:p>
    <w:p w:rsidR="001521A0" w:rsidRDefault="001521A0" w:rsidP="001521A0">
      <w:pPr>
        <w:pStyle w:val="Listenabsatz"/>
      </w:pPr>
    </w:p>
    <w:p w:rsidR="001521A0" w:rsidRDefault="000B4CEC" w:rsidP="004674EE">
      <w:pPr>
        <w:pStyle w:val="Listenabsatz"/>
        <w:numPr>
          <w:ilvl w:val="0"/>
          <w:numId w:val="4"/>
        </w:numPr>
      </w:pPr>
      <w:r>
        <w:t>Die Vorlagepflicht deutscher Gerichte und die Verletzung des gesetzlichen Richters nach Art. 101 Abs. 1 S. 2 GG</w:t>
      </w:r>
    </w:p>
    <w:p w:rsidR="001521A0" w:rsidRDefault="001521A0" w:rsidP="001521A0">
      <w:pPr>
        <w:pStyle w:val="Listenabsatz"/>
      </w:pPr>
    </w:p>
    <w:p w:rsidR="001521A0" w:rsidRDefault="001521A0" w:rsidP="004674EE">
      <w:pPr>
        <w:pStyle w:val="Listenabsatz"/>
        <w:numPr>
          <w:ilvl w:val="0"/>
          <w:numId w:val="4"/>
        </w:numPr>
      </w:pPr>
      <w:r>
        <w:t xml:space="preserve">Zum Verhältnis </w:t>
      </w:r>
      <w:r w:rsidR="000B4CEC">
        <w:t>der EMRK</w:t>
      </w:r>
      <w:r>
        <w:t>,</w:t>
      </w:r>
      <w:r w:rsidR="000B4CEC">
        <w:t xml:space="preserve"> der Grundrechtecharta und der allgemeinen Rechtsgrundsätze</w:t>
      </w:r>
      <w:r>
        <w:t xml:space="preserve"> des Unionsprimärrechts</w:t>
      </w:r>
    </w:p>
    <w:p w:rsidR="001521A0" w:rsidRDefault="001521A0" w:rsidP="001521A0">
      <w:pPr>
        <w:pStyle w:val="Listenabsatz"/>
      </w:pPr>
    </w:p>
    <w:p w:rsidR="00EF2133" w:rsidRDefault="00EF2133" w:rsidP="004674EE">
      <w:pPr>
        <w:pStyle w:val="Listenabsatz"/>
        <w:numPr>
          <w:ilvl w:val="0"/>
          <w:numId w:val="4"/>
        </w:numPr>
      </w:pPr>
      <w:r>
        <w:t>Zum Verhältnis von Grundrechten und Grundfreiheiten anhand des Rechts auf Streik</w:t>
      </w:r>
    </w:p>
    <w:p w:rsidR="001521A0" w:rsidRDefault="001521A0" w:rsidP="001521A0">
      <w:pPr>
        <w:pStyle w:val="Listenabsatz"/>
      </w:pPr>
    </w:p>
    <w:p w:rsidR="004674EE" w:rsidRDefault="000B4CEC" w:rsidP="004674EE">
      <w:pPr>
        <w:pStyle w:val="Listenabsatz"/>
        <w:numPr>
          <w:ilvl w:val="0"/>
          <w:numId w:val="4"/>
        </w:numPr>
      </w:pPr>
      <w:r>
        <w:t>Die evolutiv-dynamische Auslegung des EGMR als Rechtsmethode</w:t>
      </w:r>
    </w:p>
    <w:p w:rsidR="004674EE" w:rsidRDefault="004674EE" w:rsidP="004674EE">
      <w:pPr>
        <w:pStyle w:val="Listenabsatz"/>
      </w:pPr>
    </w:p>
    <w:p w:rsidR="004674EE" w:rsidRDefault="000B4CEC" w:rsidP="004674EE">
      <w:pPr>
        <w:pStyle w:val="Listenabsatz"/>
        <w:numPr>
          <w:ilvl w:val="0"/>
          <w:numId w:val="4"/>
        </w:numPr>
      </w:pPr>
      <w:r>
        <w:t xml:space="preserve">Der Arbeitnehmerbegriff im europäischen Arbeitsrecht – von </w:t>
      </w:r>
      <w:proofErr w:type="spellStart"/>
      <w:r>
        <w:t>Lawrie</w:t>
      </w:r>
      <w:proofErr w:type="spellEnd"/>
      <w:r>
        <w:t xml:space="preserve"> Blum bis </w:t>
      </w:r>
      <w:proofErr w:type="spellStart"/>
      <w:r>
        <w:t>Danosa</w:t>
      </w:r>
      <w:proofErr w:type="spellEnd"/>
    </w:p>
    <w:p w:rsidR="004674EE" w:rsidRDefault="004674EE" w:rsidP="004674EE">
      <w:pPr>
        <w:pStyle w:val="Listenabsatz"/>
      </w:pPr>
    </w:p>
    <w:p w:rsidR="000B4CEC" w:rsidRDefault="000B4CEC" w:rsidP="004674EE">
      <w:pPr>
        <w:pStyle w:val="Listenabsatz"/>
        <w:numPr>
          <w:ilvl w:val="0"/>
          <w:numId w:val="4"/>
        </w:numPr>
      </w:pPr>
      <w:r>
        <w:t>Die arbeitnehmerähnliche Person – eine Beschäftigtenkategorie im europäischen Arbeit</w:t>
      </w:r>
      <w:r>
        <w:t>s</w:t>
      </w:r>
      <w:r>
        <w:t>recht?</w:t>
      </w:r>
    </w:p>
    <w:p w:rsidR="001521A0" w:rsidRDefault="001521A0" w:rsidP="001521A0">
      <w:pPr>
        <w:pStyle w:val="Listenabsatz"/>
      </w:pPr>
    </w:p>
    <w:p w:rsidR="000B4CEC" w:rsidRDefault="000B4CEC" w:rsidP="004674EE">
      <w:pPr>
        <w:pStyle w:val="Listenabsatz"/>
        <w:numPr>
          <w:ilvl w:val="0"/>
          <w:numId w:val="4"/>
        </w:numPr>
      </w:pPr>
      <w:r>
        <w:t>Arbeitnehmer</w:t>
      </w:r>
      <w:r w:rsidR="001521A0">
        <w:t>schutz für GmbH-Geschäftsführer</w:t>
      </w:r>
    </w:p>
    <w:p w:rsidR="001521A0" w:rsidRDefault="001521A0" w:rsidP="001521A0">
      <w:pPr>
        <w:pStyle w:val="Listenabsatz"/>
      </w:pPr>
    </w:p>
    <w:p w:rsidR="000B4CEC" w:rsidRDefault="000B4CEC" w:rsidP="004674EE">
      <w:pPr>
        <w:pStyle w:val="Listenabsatz"/>
        <w:numPr>
          <w:ilvl w:val="0"/>
          <w:numId w:val="4"/>
        </w:numPr>
      </w:pPr>
      <w:r>
        <w:t xml:space="preserve">Die Zulässigkeit von Kettenbefristungen unter Berücksichtigung der Entscheidung des </w:t>
      </w:r>
      <w:proofErr w:type="spellStart"/>
      <w:r>
        <w:t>EuGH</w:t>
      </w:r>
      <w:proofErr w:type="spellEnd"/>
      <w:r>
        <w:t xml:space="preserve"> in der </w:t>
      </w:r>
      <w:proofErr w:type="spellStart"/>
      <w:r>
        <w:t>Rs</w:t>
      </w:r>
      <w:proofErr w:type="spellEnd"/>
      <w:r>
        <w:t>. Kücük</w:t>
      </w:r>
    </w:p>
    <w:p w:rsidR="001521A0" w:rsidRDefault="001521A0" w:rsidP="001521A0">
      <w:pPr>
        <w:pStyle w:val="Listenabsatz"/>
      </w:pPr>
    </w:p>
    <w:p w:rsidR="000B4CEC" w:rsidRDefault="000B4CEC" w:rsidP="004674EE">
      <w:pPr>
        <w:pStyle w:val="Listenabsatz"/>
        <w:numPr>
          <w:ilvl w:val="0"/>
          <w:numId w:val="4"/>
        </w:numPr>
      </w:pPr>
      <w:r>
        <w:t xml:space="preserve">Die Beendigung des Arbeitsverhältnisses </w:t>
      </w:r>
      <w:r w:rsidR="001521A0">
        <w:t>durch tarifvertraglich geregelte Altersgrenzen</w:t>
      </w:r>
    </w:p>
    <w:p w:rsidR="001521A0" w:rsidRDefault="001521A0" w:rsidP="001521A0">
      <w:pPr>
        <w:pStyle w:val="Listenabsatz"/>
      </w:pPr>
    </w:p>
    <w:p w:rsidR="00EF2133" w:rsidRDefault="00EF2133" w:rsidP="004674EE">
      <w:pPr>
        <w:pStyle w:val="Listenabsatz"/>
        <w:numPr>
          <w:ilvl w:val="0"/>
          <w:numId w:val="4"/>
        </w:numPr>
      </w:pPr>
      <w:r>
        <w:t>Berücksichtigung des Rechts auf Kollektivverhandlungen bei der Anwendung des AGG (</w:t>
      </w:r>
      <w:proofErr w:type="spellStart"/>
      <w:r>
        <w:t>Rs</w:t>
      </w:r>
      <w:proofErr w:type="spellEnd"/>
      <w:r>
        <w:t>. Prigge und Hennigs)</w:t>
      </w:r>
    </w:p>
    <w:p w:rsidR="001521A0" w:rsidRDefault="001521A0" w:rsidP="001521A0">
      <w:pPr>
        <w:pStyle w:val="Listenabsatz"/>
      </w:pPr>
    </w:p>
    <w:p w:rsidR="00EF2133" w:rsidRDefault="001521A0" w:rsidP="004674EE">
      <w:pPr>
        <w:pStyle w:val="Listenabsatz"/>
        <w:numPr>
          <w:ilvl w:val="0"/>
          <w:numId w:val="4"/>
        </w:numPr>
      </w:pPr>
      <w:r>
        <w:t>Besondere g</w:t>
      </w:r>
      <w:r w:rsidR="00EF2133">
        <w:t>esetzliche Altersgrenzen – eine zulässige Benachteiligung wegen des Alters?</w:t>
      </w:r>
      <w:r>
        <w:t xml:space="preserve"> (o</w:t>
      </w:r>
      <w:r>
        <w:t>h</w:t>
      </w:r>
      <w:r>
        <w:t>ne Befristung des Arbeitsverhältnisses auf das Renteneintrittsalter)</w:t>
      </w:r>
    </w:p>
    <w:p w:rsidR="001521A0" w:rsidRDefault="001521A0" w:rsidP="001521A0">
      <w:pPr>
        <w:pStyle w:val="Listenabsatz"/>
      </w:pPr>
    </w:p>
    <w:p w:rsidR="001521A0" w:rsidRDefault="000B4CEC" w:rsidP="000C6A39">
      <w:pPr>
        <w:pStyle w:val="Listenabsatz"/>
        <w:numPr>
          <w:ilvl w:val="0"/>
          <w:numId w:val="4"/>
        </w:numPr>
      </w:pPr>
      <w:r>
        <w:t xml:space="preserve">Der Begriff des Betriebsübergangs im Spiegel der Rechtsprechung des </w:t>
      </w:r>
      <w:proofErr w:type="spellStart"/>
      <w:r>
        <w:t>EuGH</w:t>
      </w:r>
      <w:proofErr w:type="spellEnd"/>
    </w:p>
    <w:p w:rsidR="000C6A39" w:rsidRDefault="000C6A39" w:rsidP="000C6A39">
      <w:pPr>
        <w:pStyle w:val="Listenabsatz"/>
      </w:pPr>
    </w:p>
    <w:p w:rsidR="000B4CEC" w:rsidRDefault="001521A0" w:rsidP="004674EE">
      <w:pPr>
        <w:pStyle w:val="Listenabsatz"/>
        <w:numPr>
          <w:ilvl w:val="0"/>
          <w:numId w:val="4"/>
        </w:numPr>
      </w:pPr>
      <w:r>
        <w:t xml:space="preserve">Das Konsultationsverfahren bei Massenentlassungen nach der </w:t>
      </w:r>
      <w:r w:rsidR="00EF2133">
        <w:t xml:space="preserve">Massenentlassungsrichtlinie </w:t>
      </w:r>
      <w:r>
        <w:t>und seine Umsetzung im deutschen Recht</w:t>
      </w:r>
    </w:p>
    <w:p w:rsidR="001521A0" w:rsidRDefault="001521A0" w:rsidP="001521A0">
      <w:pPr>
        <w:pStyle w:val="Listenabsatz"/>
      </w:pPr>
    </w:p>
    <w:p w:rsidR="000B4CEC" w:rsidRDefault="000B4CEC" w:rsidP="004674EE">
      <w:pPr>
        <w:pStyle w:val="Listenabsatz"/>
        <w:numPr>
          <w:ilvl w:val="0"/>
          <w:numId w:val="4"/>
        </w:numPr>
      </w:pPr>
      <w:r>
        <w:t>Der Unterlassungsanspruch des Betriebsrats bei Betriebsänderungen unter besonderer B</w:t>
      </w:r>
      <w:r>
        <w:t>e</w:t>
      </w:r>
      <w:r>
        <w:t>rücksichtigung der Richtlinie 2002/14/EG</w:t>
      </w:r>
    </w:p>
    <w:p w:rsidR="004674EE" w:rsidRDefault="004674EE" w:rsidP="004674EE">
      <w:pPr>
        <w:pStyle w:val="Listenabsatz"/>
      </w:pPr>
    </w:p>
    <w:p w:rsidR="00EF2133" w:rsidRDefault="009C2411" w:rsidP="004674EE">
      <w:pPr>
        <w:pStyle w:val="Listenabsatz"/>
        <w:numPr>
          <w:ilvl w:val="0"/>
          <w:numId w:val="4"/>
        </w:numPr>
      </w:pPr>
      <w:r>
        <w:t>Soziale Grundrechte in der Rechtsprechung</w:t>
      </w:r>
      <w:r w:rsidR="00EF2133">
        <w:t xml:space="preserve"> des Europäischen Gerichtshofs für Mensche</w:t>
      </w:r>
      <w:r w:rsidR="00EF2133">
        <w:t>n</w:t>
      </w:r>
      <w:r w:rsidR="00EF2133">
        <w:t>rechte</w:t>
      </w:r>
    </w:p>
    <w:p w:rsidR="001521A0" w:rsidRDefault="001521A0" w:rsidP="001521A0">
      <w:pPr>
        <w:pStyle w:val="Listenabsatz"/>
      </w:pPr>
    </w:p>
    <w:p w:rsidR="00EF2133" w:rsidRDefault="00EF2133" w:rsidP="004674EE">
      <w:pPr>
        <w:pStyle w:val="Listenabsatz"/>
        <w:numPr>
          <w:ilvl w:val="0"/>
          <w:numId w:val="4"/>
        </w:numPr>
      </w:pPr>
      <w:r>
        <w:t xml:space="preserve">Die Religionsfreiheit nach Art. </w:t>
      </w:r>
      <w:r w:rsidR="009C2411">
        <w:t>9</w:t>
      </w:r>
      <w:r>
        <w:t xml:space="preserve"> EMRK und seine Wirkung auf das Individualarbeitsrecht</w:t>
      </w:r>
    </w:p>
    <w:p w:rsidR="001521A0" w:rsidRDefault="001521A0" w:rsidP="001521A0">
      <w:pPr>
        <w:pStyle w:val="Listenabsatz"/>
      </w:pPr>
    </w:p>
    <w:p w:rsidR="00EF2133" w:rsidRDefault="00EF2133" w:rsidP="004674EE">
      <w:pPr>
        <w:pStyle w:val="Listenabsatz"/>
        <w:numPr>
          <w:ilvl w:val="0"/>
          <w:numId w:val="4"/>
        </w:numPr>
      </w:pPr>
      <w:r>
        <w:t xml:space="preserve">Die Zulässigkeit des </w:t>
      </w:r>
      <w:proofErr w:type="spellStart"/>
      <w:r>
        <w:t>Whistleblowing</w:t>
      </w:r>
      <w:proofErr w:type="spellEnd"/>
      <w:r>
        <w:t xml:space="preserve"> unter dem Eindruck der Rechtsprechung des EGMR in der </w:t>
      </w:r>
      <w:proofErr w:type="spellStart"/>
      <w:r>
        <w:t>Rs</w:t>
      </w:r>
      <w:proofErr w:type="spellEnd"/>
      <w:r>
        <w:t>. Heinisch</w:t>
      </w:r>
    </w:p>
    <w:p w:rsidR="001521A0" w:rsidRDefault="001521A0" w:rsidP="001521A0">
      <w:pPr>
        <w:pStyle w:val="Listenabsatz"/>
      </w:pPr>
    </w:p>
    <w:p w:rsidR="00EF2133" w:rsidRDefault="00EF2133" w:rsidP="004674EE">
      <w:pPr>
        <w:pStyle w:val="Listenabsatz"/>
        <w:numPr>
          <w:ilvl w:val="0"/>
          <w:numId w:val="4"/>
        </w:numPr>
      </w:pPr>
      <w:r>
        <w:t>Das Recht auf Kollektivverhandlungen aus Art. 11 EMRK</w:t>
      </w:r>
    </w:p>
    <w:p w:rsidR="001521A0" w:rsidRDefault="001521A0" w:rsidP="001521A0">
      <w:pPr>
        <w:pStyle w:val="Listenabsatz"/>
      </w:pPr>
    </w:p>
    <w:p w:rsidR="004674EE" w:rsidRDefault="00EF2133" w:rsidP="00967B4B">
      <w:pPr>
        <w:pStyle w:val="Listenabsatz"/>
        <w:numPr>
          <w:ilvl w:val="0"/>
          <w:numId w:val="4"/>
        </w:numPr>
      </w:pPr>
      <w:r>
        <w:t>Das Recht auf Streik aus Art. 11 EMRK</w:t>
      </w:r>
    </w:p>
    <w:p w:rsidR="000C6A39" w:rsidRDefault="000C6A39" w:rsidP="00967B4B">
      <w:pPr>
        <w:spacing w:before="480"/>
      </w:pPr>
      <w:r>
        <w:t>Das Seminar wird als Blockveranstaltung im Juni 2013 durchgeführt. Die Vorbesprechung findet am</w:t>
      </w:r>
    </w:p>
    <w:p w:rsidR="000C6A39" w:rsidRPr="000C6A39" w:rsidRDefault="000C6A39" w:rsidP="000C6A39">
      <w:pPr>
        <w:jc w:val="center"/>
        <w:rPr>
          <w:b/>
        </w:rPr>
      </w:pPr>
      <w:r>
        <w:rPr>
          <w:b/>
        </w:rPr>
        <w:t>Diens</w:t>
      </w:r>
      <w:r w:rsidR="00641390">
        <w:rPr>
          <w:b/>
        </w:rPr>
        <w:t>tag, den 12</w:t>
      </w:r>
      <w:r w:rsidRPr="000C6A39">
        <w:rPr>
          <w:b/>
        </w:rPr>
        <w:t xml:space="preserve">. </w:t>
      </w:r>
      <w:r>
        <w:rPr>
          <w:b/>
        </w:rPr>
        <w:t>Februar 2013</w:t>
      </w:r>
      <w:r w:rsidRPr="000C6A39">
        <w:rPr>
          <w:b/>
        </w:rPr>
        <w:t>, um 1</w:t>
      </w:r>
      <w:r>
        <w:rPr>
          <w:b/>
        </w:rPr>
        <w:t>3</w:t>
      </w:r>
      <w:r w:rsidRPr="000C6A39">
        <w:rPr>
          <w:b/>
        </w:rPr>
        <w:t xml:space="preserve"> Uhr </w:t>
      </w:r>
      <w:proofErr w:type="spellStart"/>
      <w:r w:rsidRPr="000C6A39">
        <w:rPr>
          <w:b/>
        </w:rPr>
        <w:t>st</w:t>
      </w:r>
      <w:proofErr w:type="spellEnd"/>
    </w:p>
    <w:p w:rsidR="000C6A39" w:rsidRPr="000C6A39" w:rsidRDefault="000C6A39" w:rsidP="000C6A39">
      <w:pPr>
        <w:jc w:val="center"/>
        <w:rPr>
          <w:b/>
        </w:rPr>
      </w:pPr>
      <w:r w:rsidRPr="000C6A39">
        <w:rPr>
          <w:b/>
        </w:rPr>
        <w:t xml:space="preserve">im Raum 5500 in der </w:t>
      </w:r>
      <w:proofErr w:type="spellStart"/>
      <w:r w:rsidRPr="000C6A39">
        <w:rPr>
          <w:b/>
        </w:rPr>
        <w:t>Boltzmannstr</w:t>
      </w:r>
      <w:proofErr w:type="spellEnd"/>
      <w:r w:rsidRPr="000C6A39">
        <w:rPr>
          <w:b/>
        </w:rPr>
        <w:t>. 3 (4. OG)</w:t>
      </w:r>
    </w:p>
    <w:p w:rsidR="000C6A39" w:rsidRDefault="000C6A39" w:rsidP="000C6A39">
      <w:r>
        <w:t xml:space="preserve">statt. Bearbeitungszeit für die Seminararbeit beträgt sechs Wochen. Die Seminarthemen </w:t>
      </w:r>
      <w:r w:rsidR="00967B4B">
        <w:t>werden am Mittwoch, 13.3.2013, 14 Uhr ausgegeben</w:t>
      </w:r>
      <w:r>
        <w:t>.</w:t>
      </w:r>
    </w:p>
    <w:p w:rsidR="004674EE" w:rsidRDefault="000C6A39" w:rsidP="004674EE">
      <w:r>
        <w:t>gez. U</w:t>
      </w:r>
      <w:r w:rsidR="00967B4B">
        <w:t>niv.-Prof. Dr. Claudia Schubert</w:t>
      </w:r>
    </w:p>
    <w:sectPr w:rsidR="004674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24FB"/>
    <w:multiLevelType w:val="hybridMultilevel"/>
    <w:tmpl w:val="C478E4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325FC"/>
    <w:multiLevelType w:val="hybridMultilevel"/>
    <w:tmpl w:val="AAA624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D53FB"/>
    <w:multiLevelType w:val="hybridMultilevel"/>
    <w:tmpl w:val="00340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43D5F"/>
    <w:multiLevelType w:val="hybridMultilevel"/>
    <w:tmpl w:val="270A2A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EC"/>
    <w:rsid w:val="000B4CEC"/>
    <w:rsid w:val="000C6A39"/>
    <w:rsid w:val="000F7DC4"/>
    <w:rsid w:val="001521A0"/>
    <w:rsid w:val="004674EE"/>
    <w:rsid w:val="00641390"/>
    <w:rsid w:val="008D2A63"/>
    <w:rsid w:val="00967B4B"/>
    <w:rsid w:val="009C2411"/>
    <w:rsid w:val="00D638AC"/>
    <w:rsid w:val="00EF2133"/>
    <w:rsid w:val="00F1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4CEC"/>
    <w:pPr>
      <w:ind w:left="720"/>
      <w:contextualSpacing/>
    </w:pPr>
  </w:style>
  <w:style w:type="paragraph" w:customStyle="1" w:styleId="Formatvorlage1">
    <w:name w:val="Formatvorlage1"/>
    <w:basedOn w:val="Standard"/>
    <w:rsid w:val="000C6A39"/>
    <w:pPr>
      <w:spacing w:after="120" w:line="360" w:lineRule="exact"/>
      <w:jc w:val="both"/>
    </w:pPr>
    <w:rPr>
      <w:rFonts w:ascii="Times New Roman" w:eastAsia="Calibri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4CEC"/>
    <w:pPr>
      <w:ind w:left="720"/>
      <w:contextualSpacing/>
    </w:pPr>
  </w:style>
  <w:style w:type="paragraph" w:customStyle="1" w:styleId="Formatvorlage1">
    <w:name w:val="Formatvorlage1"/>
    <w:basedOn w:val="Standard"/>
    <w:rsid w:val="000C6A39"/>
    <w:pPr>
      <w:spacing w:after="120" w:line="360" w:lineRule="exact"/>
      <w:jc w:val="both"/>
    </w:pPr>
    <w:rPr>
      <w:rFonts w:ascii="Times New Roman" w:eastAsia="Calibri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tobjer</dc:creator>
  <cp:lastModifiedBy>tobjer</cp:lastModifiedBy>
  <cp:revision>2</cp:revision>
  <cp:lastPrinted>2013-01-23T07:26:00Z</cp:lastPrinted>
  <dcterms:created xsi:type="dcterms:W3CDTF">2013-01-24T13:17:00Z</dcterms:created>
  <dcterms:modified xsi:type="dcterms:W3CDTF">2013-01-24T13:17:00Z</dcterms:modified>
</cp:coreProperties>
</file>